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2F8" w:rsidRDefault="00EC6ABD"/>
    <w:p w:rsidR="00EC6ABD" w:rsidRPr="00EC6ABD" w:rsidRDefault="00EC6ABD" w:rsidP="00EC6ABD">
      <w:pPr>
        <w:jc w:val="center"/>
        <w:rPr>
          <w:b/>
          <w:u w:val="single"/>
        </w:rPr>
      </w:pPr>
      <w:r w:rsidRPr="00EC6ABD">
        <w:rPr>
          <w:b/>
          <w:u w:val="single"/>
        </w:rPr>
        <w:t>Cancer Infusion Center Orientation Schedule</w:t>
      </w:r>
    </w:p>
    <w:p w:rsidR="00EC6ABD" w:rsidRPr="00EC6ABD" w:rsidRDefault="00EC6ABD" w:rsidP="00EC6ABD">
      <w:pPr>
        <w:rPr>
          <w:b/>
        </w:rPr>
      </w:pPr>
      <w:r w:rsidRPr="00EC6ABD">
        <w:rPr>
          <w:b/>
        </w:rPr>
        <w:t>Week One</w:t>
      </w:r>
    </w:p>
    <w:p w:rsidR="00EC6ABD" w:rsidRPr="00EC6ABD" w:rsidRDefault="00EC6ABD" w:rsidP="00EC6ABD">
      <w:pPr>
        <w:spacing w:after="0"/>
        <w:rPr>
          <w:b/>
        </w:rPr>
      </w:pPr>
      <w:r w:rsidRPr="00EC6ABD">
        <w:rPr>
          <w:b/>
        </w:rPr>
        <w:t>Monday:</w:t>
      </w:r>
    </w:p>
    <w:p w:rsidR="00EC6ABD" w:rsidRPr="00EC6ABD" w:rsidRDefault="00EC6ABD" w:rsidP="00EC6ABD">
      <w:pPr>
        <w:spacing w:after="0"/>
      </w:pPr>
      <w:r w:rsidRPr="00EC6ABD">
        <w:rPr>
          <w:b/>
          <w:bCs/>
        </w:rPr>
        <w:t>Day 1</w:t>
      </w:r>
      <w:r w:rsidRPr="00EC6ABD">
        <w:rPr>
          <w:b/>
        </w:rPr>
        <w:t xml:space="preserve"> Part 1</w:t>
      </w:r>
      <w:r w:rsidRPr="00EC6ABD">
        <w:t xml:space="preserve"> </w:t>
      </w:r>
      <w:r w:rsidRPr="00EC6ABD">
        <w:rPr>
          <w:b/>
          <w:bCs/>
        </w:rPr>
        <w:t>– 8:00am</w:t>
      </w:r>
      <w:r w:rsidRPr="00EC6ABD">
        <w:t xml:space="preserve"> – (Zoom) </w:t>
      </w:r>
      <w:r w:rsidRPr="00EC6ABD">
        <w:rPr>
          <w:b/>
        </w:rPr>
        <w:t>System Wide Orientation</w:t>
      </w:r>
      <w:r w:rsidRPr="00EC6ABD">
        <w:t xml:space="preserve">. Welcome from Jesse Goodrich followed by Nyla Kimmet. Nyla will set the expectations for completing System Wide Orientation to include the two SWO </w:t>
      </w:r>
      <w:r w:rsidRPr="00EC6ABD">
        <w:rPr>
          <w:rFonts w:cstheme="minorHAnsi"/>
        </w:rPr>
        <w:t xml:space="preserve">CBL’s </w:t>
      </w:r>
      <w:r w:rsidRPr="00EC6ABD">
        <w:t xml:space="preserve">and provide structure for the rest of the day; to include when to rejoin a Zoom call, what to do next, etc. </w:t>
      </w:r>
      <w:r w:rsidRPr="00EC6ABD">
        <w:rPr>
          <w:i/>
        </w:rPr>
        <w:t>(Infusion and Clinic RN)</w:t>
      </w:r>
      <w:r w:rsidRPr="00EC6ABD">
        <w:t xml:space="preserve"> </w:t>
      </w:r>
    </w:p>
    <w:p w:rsidR="00EC6ABD" w:rsidRPr="00EC6ABD" w:rsidRDefault="00EC6ABD" w:rsidP="00EC6ABD">
      <w:pPr>
        <w:spacing w:after="0"/>
      </w:pPr>
      <w:r w:rsidRPr="00EC6ABD">
        <w:rPr>
          <w:b/>
          <w:bCs/>
        </w:rPr>
        <w:t>Day 1 Part 2</w:t>
      </w:r>
      <w:r w:rsidRPr="00EC6ABD">
        <w:t xml:space="preserve"> </w:t>
      </w:r>
      <w:r w:rsidRPr="00EC6ABD">
        <w:rPr>
          <w:b/>
          <w:bCs/>
        </w:rPr>
        <w:t>– 11:00am</w:t>
      </w:r>
      <w:r w:rsidRPr="00EC6ABD">
        <w:t xml:space="preserve"> – (Zoom) </w:t>
      </w:r>
      <w:r w:rsidRPr="00EC6ABD">
        <w:rPr>
          <w:b/>
        </w:rPr>
        <w:t>Riverside Care Difference</w:t>
      </w:r>
      <w:r w:rsidRPr="00EC6ABD">
        <w:t xml:space="preserve">. Nyla will answer any CBL questions and then introduce the Riverside Care Difference overview that includes the introduction of the Guiding Principles. In closing, she will share the day’s last expectation to complete RCD TUFTS. </w:t>
      </w:r>
      <w:r w:rsidRPr="00EC6ABD">
        <w:rPr>
          <w:i/>
        </w:rPr>
        <w:t>(Infusion and Clinic RN)</w:t>
      </w:r>
    </w:p>
    <w:p w:rsidR="00EC6ABD" w:rsidRPr="00EC6ABD" w:rsidRDefault="00EC6ABD" w:rsidP="00EC6ABD">
      <w:pPr>
        <w:spacing w:after="0"/>
      </w:pPr>
    </w:p>
    <w:p w:rsidR="00EC6ABD" w:rsidRPr="00EC6ABD" w:rsidRDefault="00EC6ABD" w:rsidP="00EC6ABD">
      <w:pPr>
        <w:spacing w:after="0"/>
        <w:rPr>
          <w:b/>
        </w:rPr>
      </w:pPr>
      <w:r w:rsidRPr="00EC6ABD">
        <w:rPr>
          <w:b/>
        </w:rPr>
        <w:t>Tuesday:</w:t>
      </w:r>
    </w:p>
    <w:p w:rsidR="00EC6ABD" w:rsidRPr="00EC6ABD" w:rsidRDefault="00EC6ABD" w:rsidP="00EC6ABD">
      <w:pPr>
        <w:spacing w:after="0"/>
        <w:rPr>
          <w:rFonts w:cstheme="minorHAnsi"/>
        </w:rPr>
      </w:pPr>
      <w:r w:rsidRPr="00EC6ABD">
        <w:rPr>
          <w:b/>
          <w:bCs/>
        </w:rPr>
        <w:t xml:space="preserve">Day 2 Part 1 – 9:30am OR 1:00pm (pending class size) – (ZOOM) RMG New Team Member Orientation: Welcome and Human Resources. </w:t>
      </w:r>
      <w:r w:rsidRPr="00EC6ABD">
        <w:rPr>
          <w:rFonts w:cstheme="minorHAnsi"/>
        </w:rPr>
        <w:t xml:space="preserve">Review of self-guided CBL completion. Michele Macklin sends the Zoom link to you and your new hire. The itinerary is emailed outlining this session and the anticipated </w:t>
      </w:r>
      <w:proofErr w:type="spellStart"/>
      <w:r w:rsidRPr="00EC6ABD">
        <w:rPr>
          <w:rFonts w:cstheme="minorHAnsi"/>
        </w:rPr>
        <w:t>iCare</w:t>
      </w:r>
      <w:proofErr w:type="spellEnd"/>
      <w:r w:rsidRPr="00EC6ABD">
        <w:rPr>
          <w:rFonts w:cstheme="minorHAnsi"/>
        </w:rPr>
        <w:t xml:space="preserve"> sessions in the week prior to their start date by Courtney Deel (Chesapeake, Virginia Beach, Suffolk, and Newport News), Sarah Cook (Middle Peninsula/Gloucester) and/or Ruth Keane (Williamsburg). </w:t>
      </w:r>
    </w:p>
    <w:p w:rsidR="00EC6ABD" w:rsidRPr="00EC6ABD" w:rsidRDefault="00EC6ABD" w:rsidP="00EC6ABD">
      <w:pPr>
        <w:spacing w:after="0"/>
        <w:rPr>
          <w:rFonts w:ascii="Times New Roman" w:hAnsi="Times New Roman" w:cs="Times New Roman"/>
          <w:color w:val="1F497D"/>
        </w:rPr>
      </w:pPr>
      <w:r w:rsidRPr="00EC6ABD">
        <w:rPr>
          <w:rFonts w:cstheme="minorHAnsi"/>
        </w:rPr>
        <w:t>HR portion reviews the following:</w:t>
      </w:r>
    </w:p>
    <w:p w:rsidR="00EC6ABD" w:rsidRPr="00EC6ABD" w:rsidRDefault="00EC6ABD" w:rsidP="00EC6ABD">
      <w:pPr>
        <w:numPr>
          <w:ilvl w:val="0"/>
          <w:numId w:val="2"/>
        </w:numPr>
        <w:spacing w:after="0" w:line="240" w:lineRule="auto"/>
        <w:rPr>
          <w:rFonts w:cstheme="minorHAnsi"/>
        </w:rPr>
      </w:pPr>
      <w:r w:rsidRPr="00EC6ABD">
        <w:rPr>
          <w:rFonts w:cstheme="minorHAnsi"/>
        </w:rPr>
        <w:t>brief background on the Medical Group and RHS at large</w:t>
      </w:r>
    </w:p>
    <w:p w:rsidR="00EC6ABD" w:rsidRPr="00EC6ABD" w:rsidRDefault="00EC6ABD" w:rsidP="00EC6ABD">
      <w:pPr>
        <w:numPr>
          <w:ilvl w:val="0"/>
          <w:numId w:val="2"/>
        </w:numPr>
        <w:spacing w:after="0" w:line="240" w:lineRule="auto"/>
        <w:rPr>
          <w:rFonts w:cstheme="minorHAnsi"/>
        </w:rPr>
      </w:pPr>
      <w:r w:rsidRPr="00EC6ABD">
        <w:rPr>
          <w:rFonts w:cstheme="minorHAnsi"/>
        </w:rPr>
        <w:t xml:space="preserve">where to find </w:t>
      </w:r>
      <w:proofErr w:type="spellStart"/>
      <w:r w:rsidRPr="00EC6ABD">
        <w:rPr>
          <w:rFonts w:cstheme="minorHAnsi"/>
        </w:rPr>
        <w:t>rPolicies</w:t>
      </w:r>
      <w:proofErr w:type="spellEnd"/>
      <w:r w:rsidRPr="00EC6ABD">
        <w:rPr>
          <w:rFonts w:cstheme="minorHAnsi"/>
        </w:rPr>
        <w:t xml:space="preserve"> and the Handbook</w:t>
      </w:r>
    </w:p>
    <w:p w:rsidR="00EC6ABD" w:rsidRPr="00EC6ABD" w:rsidRDefault="00EC6ABD" w:rsidP="00EC6ABD">
      <w:pPr>
        <w:numPr>
          <w:ilvl w:val="0"/>
          <w:numId w:val="2"/>
        </w:numPr>
        <w:spacing w:after="0" w:line="240" w:lineRule="auto"/>
        <w:rPr>
          <w:rFonts w:cstheme="minorHAnsi"/>
        </w:rPr>
      </w:pPr>
      <w:r w:rsidRPr="00EC6ABD">
        <w:rPr>
          <w:rFonts w:cstheme="minorHAnsi"/>
        </w:rPr>
        <w:t>compensation overview (</w:t>
      </w:r>
      <w:proofErr w:type="spellStart"/>
      <w:r w:rsidRPr="00EC6ABD">
        <w:rPr>
          <w:rFonts w:cstheme="minorHAnsi"/>
        </w:rPr>
        <w:t>winshare</w:t>
      </w:r>
      <w:proofErr w:type="spellEnd"/>
      <w:r w:rsidRPr="00EC6ABD">
        <w:rPr>
          <w:rFonts w:cstheme="minorHAnsi"/>
        </w:rPr>
        <w:t>, market/merit increases, promotions)</w:t>
      </w:r>
    </w:p>
    <w:p w:rsidR="00EC6ABD" w:rsidRPr="00EC6ABD" w:rsidRDefault="00EC6ABD" w:rsidP="00EC6ABD">
      <w:pPr>
        <w:numPr>
          <w:ilvl w:val="0"/>
          <w:numId w:val="2"/>
        </w:numPr>
        <w:spacing w:after="0" w:line="240" w:lineRule="auto"/>
        <w:rPr>
          <w:rFonts w:cstheme="minorHAnsi"/>
        </w:rPr>
      </w:pPr>
      <w:r w:rsidRPr="00EC6ABD">
        <w:rPr>
          <w:rFonts w:cstheme="minorHAnsi"/>
        </w:rPr>
        <w:t>opportunities for growth (RELA, clinical ladder, tuition assistance)</w:t>
      </w:r>
    </w:p>
    <w:p w:rsidR="00EC6ABD" w:rsidRPr="00EC6ABD" w:rsidRDefault="00EC6ABD" w:rsidP="00EC6ABD">
      <w:pPr>
        <w:numPr>
          <w:ilvl w:val="0"/>
          <w:numId w:val="2"/>
        </w:numPr>
        <w:spacing w:after="0" w:line="240" w:lineRule="auto"/>
        <w:rPr>
          <w:rFonts w:cstheme="minorHAnsi"/>
        </w:rPr>
      </w:pPr>
      <w:r w:rsidRPr="00EC6ABD">
        <w:rPr>
          <w:rFonts w:cstheme="minorHAnsi"/>
        </w:rPr>
        <w:t xml:space="preserve">Systems overview: Kronos, ESS, Halogen, </w:t>
      </w:r>
      <w:proofErr w:type="spellStart"/>
      <w:r w:rsidRPr="00EC6ABD">
        <w:rPr>
          <w:rFonts w:cstheme="minorHAnsi"/>
        </w:rPr>
        <w:t>Netlearning</w:t>
      </w:r>
      <w:proofErr w:type="spellEnd"/>
    </w:p>
    <w:p w:rsidR="00EC6ABD" w:rsidRPr="00EC6ABD" w:rsidRDefault="00EC6ABD" w:rsidP="00EC6ABD">
      <w:pPr>
        <w:spacing w:after="0"/>
        <w:rPr>
          <w:rFonts w:cstheme="minorHAnsi"/>
          <w:i/>
        </w:rPr>
      </w:pPr>
      <w:r w:rsidRPr="00EC6ABD">
        <w:rPr>
          <w:rFonts w:cstheme="minorHAnsi"/>
          <w:i/>
        </w:rPr>
        <w:t xml:space="preserve">(Infusion and Clinic RN) </w:t>
      </w:r>
    </w:p>
    <w:p w:rsidR="00EC6ABD" w:rsidRPr="00EC6ABD" w:rsidRDefault="00EC6ABD" w:rsidP="00EC6ABD">
      <w:pPr>
        <w:ind w:left="1080"/>
        <w:rPr>
          <w:b/>
          <w:bCs/>
        </w:rPr>
      </w:pPr>
    </w:p>
    <w:p w:rsidR="00EC6ABD" w:rsidRPr="00EC6ABD" w:rsidRDefault="00EC6ABD" w:rsidP="00EC6ABD">
      <w:pPr>
        <w:rPr>
          <w:b/>
          <w:u w:val="single"/>
        </w:rPr>
      </w:pPr>
      <w:proofErr w:type="spellStart"/>
      <w:proofErr w:type="gramStart"/>
      <w:r w:rsidRPr="00EC6ABD">
        <w:rPr>
          <w:b/>
          <w:u w:val="single"/>
        </w:rPr>
        <w:t>iCare</w:t>
      </w:r>
      <w:proofErr w:type="spellEnd"/>
      <w:proofErr w:type="gramEnd"/>
      <w:r w:rsidRPr="00EC6ABD">
        <w:rPr>
          <w:b/>
          <w:u w:val="single"/>
        </w:rPr>
        <w:t xml:space="preserve"> training is different and TBD based on availability – Diane Mccardel (Infusion RN) Lisa Hughes (Clinic RN) to schedule training</w:t>
      </w:r>
    </w:p>
    <w:p w:rsidR="00EC6ABD" w:rsidRPr="00EC6ABD" w:rsidRDefault="00EC6ABD" w:rsidP="00EC6ABD">
      <w:pPr>
        <w:rPr>
          <w:b/>
          <w:u w:val="single"/>
        </w:rPr>
      </w:pPr>
    </w:p>
    <w:tbl>
      <w:tblPr>
        <w:tblStyle w:val="TableGrid"/>
        <w:tblW w:w="0" w:type="auto"/>
        <w:tblLook w:val="04A0" w:firstRow="1" w:lastRow="0" w:firstColumn="1" w:lastColumn="0" w:noHBand="0" w:noVBand="1"/>
      </w:tblPr>
      <w:tblGrid>
        <w:gridCol w:w="1870"/>
        <w:gridCol w:w="1870"/>
        <w:gridCol w:w="1870"/>
        <w:gridCol w:w="1870"/>
        <w:gridCol w:w="1870"/>
      </w:tblGrid>
      <w:tr w:rsidR="00EC6ABD" w:rsidRPr="00EC6ABD" w:rsidTr="00222BB4">
        <w:tc>
          <w:tcPr>
            <w:tcW w:w="1870" w:type="dxa"/>
          </w:tcPr>
          <w:p w:rsidR="00EC6ABD" w:rsidRPr="00EC6ABD" w:rsidRDefault="00EC6ABD" w:rsidP="00EC6ABD">
            <w:pPr>
              <w:jc w:val="center"/>
              <w:rPr>
                <w:b/>
              </w:rPr>
            </w:pPr>
            <w:r w:rsidRPr="00EC6ABD">
              <w:rPr>
                <w:b/>
              </w:rPr>
              <w:t>Monday</w:t>
            </w:r>
          </w:p>
        </w:tc>
        <w:tc>
          <w:tcPr>
            <w:tcW w:w="1870" w:type="dxa"/>
          </w:tcPr>
          <w:p w:rsidR="00EC6ABD" w:rsidRPr="00EC6ABD" w:rsidRDefault="00EC6ABD" w:rsidP="00EC6ABD">
            <w:pPr>
              <w:jc w:val="center"/>
              <w:rPr>
                <w:b/>
              </w:rPr>
            </w:pPr>
            <w:r w:rsidRPr="00EC6ABD">
              <w:rPr>
                <w:b/>
              </w:rPr>
              <w:t>Tuesday</w:t>
            </w:r>
          </w:p>
        </w:tc>
        <w:tc>
          <w:tcPr>
            <w:tcW w:w="1870" w:type="dxa"/>
          </w:tcPr>
          <w:p w:rsidR="00EC6ABD" w:rsidRPr="00EC6ABD" w:rsidRDefault="00EC6ABD" w:rsidP="00EC6ABD">
            <w:pPr>
              <w:jc w:val="center"/>
              <w:rPr>
                <w:b/>
              </w:rPr>
            </w:pPr>
            <w:r w:rsidRPr="00EC6ABD">
              <w:rPr>
                <w:b/>
              </w:rPr>
              <w:t>Wednesday</w:t>
            </w:r>
          </w:p>
        </w:tc>
        <w:tc>
          <w:tcPr>
            <w:tcW w:w="1870" w:type="dxa"/>
          </w:tcPr>
          <w:p w:rsidR="00EC6ABD" w:rsidRPr="00EC6ABD" w:rsidRDefault="00EC6ABD" w:rsidP="00EC6ABD">
            <w:pPr>
              <w:jc w:val="center"/>
              <w:rPr>
                <w:b/>
              </w:rPr>
            </w:pPr>
            <w:r w:rsidRPr="00EC6ABD">
              <w:rPr>
                <w:b/>
              </w:rPr>
              <w:t>Thursday</w:t>
            </w:r>
          </w:p>
        </w:tc>
        <w:tc>
          <w:tcPr>
            <w:tcW w:w="1870" w:type="dxa"/>
          </w:tcPr>
          <w:p w:rsidR="00EC6ABD" w:rsidRPr="00EC6ABD" w:rsidRDefault="00EC6ABD" w:rsidP="00EC6ABD">
            <w:pPr>
              <w:jc w:val="center"/>
              <w:rPr>
                <w:b/>
              </w:rPr>
            </w:pPr>
            <w:r w:rsidRPr="00EC6ABD">
              <w:rPr>
                <w:b/>
              </w:rPr>
              <w:t>Friday</w:t>
            </w:r>
          </w:p>
        </w:tc>
      </w:tr>
      <w:tr w:rsidR="00EC6ABD" w:rsidRPr="00EC6ABD" w:rsidTr="00222BB4">
        <w:tc>
          <w:tcPr>
            <w:tcW w:w="1870" w:type="dxa"/>
          </w:tcPr>
          <w:p w:rsidR="00EC6ABD" w:rsidRPr="00EC6ABD" w:rsidRDefault="00EC6ABD" w:rsidP="00EC6ABD">
            <w:pPr>
              <w:jc w:val="center"/>
            </w:pPr>
            <w:r w:rsidRPr="00EC6ABD">
              <w:rPr>
                <w:b/>
              </w:rPr>
              <w:t>8:00am</w:t>
            </w:r>
          </w:p>
          <w:p w:rsidR="00EC6ABD" w:rsidRPr="00EC6ABD" w:rsidRDefault="00EC6ABD" w:rsidP="00EC6ABD">
            <w:pPr>
              <w:jc w:val="center"/>
            </w:pPr>
            <w:r w:rsidRPr="00EC6ABD">
              <w:t>System Wide Orientation ZOOM</w:t>
            </w:r>
          </w:p>
        </w:tc>
        <w:tc>
          <w:tcPr>
            <w:tcW w:w="1870" w:type="dxa"/>
          </w:tcPr>
          <w:p w:rsidR="00EC6ABD" w:rsidRPr="00EC6ABD" w:rsidRDefault="00EC6ABD" w:rsidP="00EC6ABD">
            <w:pPr>
              <w:jc w:val="center"/>
            </w:pPr>
            <w:r w:rsidRPr="00EC6ABD">
              <w:rPr>
                <w:b/>
              </w:rPr>
              <w:t>9:30am</w:t>
            </w:r>
            <w:r w:rsidRPr="00EC6ABD">
              <w:t xml:space="preserve"> </w:t>
            </w:r>
          </w:p>
          <w:p w:rsidR="00EC6ABD" w:rsidRPr="00EC6ABD" w:rsidRDefault="00EC6ABD" w:rsidP="00EC6ABD">
            <w:pPr>
              <w:jc w:val="center"/>
            </w:pPr>
            <w:r w:rsidRPr="00EC6ABD">
              <w:t>RMG Welcome and Human Resources ZOOM</w:t>
            </w:r>
          </w:p>
        </w:tc>
        <w:tc>
          <w:tcPr>
            <w:tcW w:w="1870" w:type="dxa"/>
          </w:tcPr>
          <w:p w:rsidR="00EC6ABD" w:rsidRPr="00EC6ABD" w:rsidRDefault="00EC6ABD" w:rsidP="00EC6ABD">
            <w:pPr>
              <w:jc w:val="center"/>
            </w:pPr>
            <w:r w:rsidRPr="00EC6ABD">
              <w:t>Beacon/</w:t>
            </w:r>
            <w:proofErr w:type="spellStart"/>
            <w:r w:rsidRPr="00EC6ABD">
              <w:t>iCare</w:t>
            </w:r>
            <w:proofErr w:type="spellEnd"/>
            <w:r w:rsidRPr="00EC6ABD">
              <w:t xml:space="preserve"> training</w:t>
            </w:r>
          </w:p>
          <w:p w:rsidR="00EC6ABD" w:rsidRPr="00EC6ABD" w:rsidRDefault="00EC6ABD" w:rsidP="00EC6ABD">
            <w:pPr>
              <w:jc w:val="center"/>
            </w:pPr>
          </w:p>
          <w:p w:rsidR="00EC6ABD" w:rsidRPr="00EC6ABD" w:rsidRDefault="00EC6ABD" w:rsidP="00EC6ABD">
            <w:pPr>
              <w:jc w:val="center"/>
            </w:pPr>
            <w:r w:rsidRPr="00EC6ABD">
              <w:t>CBLS</w:t>
            </w:r>
          </w:p>
        </w:tc>
        <w:tc>
          <w:tcPr>
            <w:tcW w:w="1870" w:type="dxa"/>
          </w:tcPr>
          <w:p w:rsidR="00EC6ABD" w:rsidRPr="00EC6ABD" w:rsidRDefault="00EC6ABD" w:rsidP="00EC6ABD">
            <w:pPr>
              <w:jc w:val="center"/>
            </w:pPr>
            <w:r w:rsidRPr="00EC6ABD">
              <w:t>Beacon/</w:t>
            </w:r>
            <w:proofErr w:type="spellStart"/>
            <w:r w:rsidRPr="00EC6ABD">
              <w:t>iCare</w:t>
            </w:r>
            <w:proofErr w:type="spellEnd"/>
            <w:r w:rsidRPr="00EC6ABD">
              <w:t xml:space="preserve"> training</w:t>
            </w:r>
          </w:p>
          <w:p w:rsidR="00EC6ABD" w:rsidRPr="00EC6ABD" w:rsidRDefault="00EC6ABD" w:rsidP="00EC6ABD">
            <w:pPr>
              <w:jc w:val="center"/>
            </w:pPr>
          </w:p>
          <w:p w:rsidR="00EC6ABD" w:rsidRPr="00EC6ABD" w:rsidRDefault="00EC6ABD" w:rsidP="00EC6ABD">
            <w:pPr>
              <w:jc w:val="center"/>
            </w:pPr>
            <w:r w:rsidRPr="00EC6ABD">
              <w:t>CBLS</w:t>
            </w:r>
          </w:p>
        </w:tc>
        <w:tc>
          <w:tcPr>
            <w:tcW w:w="1870" w:type="dxa"/>
          </w:tcPr>
          <w:p w:rsidR="00EC6ABD" w:rsidRPr="00EC6ABD" w:rsidRDefault="00EC6ABD" w:rsidP="00EC6ABD">
            <w:pPr>
              <w:jc w:val="center"/>
            </w:pPr>
            <w:r w:rsidRPr="00EC6ABD">
              <w:t>CBLS</w:t>
            </w:r>
          </w:p>
          <w:p w:rsidR="00EC6ABD" w:rsidRPr="00EC6ABD" w:rsidRDefault="00EC6ABD" w:rsidP="00EC6ABD">
            <w:pPr>
              <w:jc w:val="center"/>
            </w:pPr>
            <w:r w:rsidRPr="00EC6ABD">
              <w:t>Job Shadow</w:t>
            </w:r>
          </w:p>
        </w:tc>
      </w:tr>
      <w:tr w:rsidR="00EC6ABD" w:rsidRPr="00EC6ABD" w:rsidTr="00222BB4">
        <w:tc>
          <w:tcPr>
            <w:tcW w:w="1870" w:type="dxa"/>
          </w:tcPr>
          <w:p w:rsidR="00EC6ABD" w:rsidRPr="00EC6ABD" w:rsidRDefault="00EC6ABD" w:rsidP="00EC6ABD">
            <w:pPr>
              <w:jc w:val="center"/>
            </w:pPr>
            <w:r w:rsidRPr="00EC6ABD">
              <w:rPr>
                <w:b/>
              </w:rPr>
              <w:t>11:00am</w:t>
            </w:r>
            <w:r w:rsidRPr="00EC6ABD">
              <w:t xml:space="preserve"> Riverside Care Difference ZOOM</w:t>
            </w:r>
          </w:p>
        </w:tc>
        <w:tc>
          <w:tcPr>
            <w:tcW w:w="1870" w:type="dxa"/>
          </w:tcPr>
          <w:p w:rsidR="00EC6ABD" w:rsidRPr="00EC6ABD" w:rsidRDefault="00EC6ABD" w:rsidP="00EC6ABD">
            <w:pPr>
              <w:jc w:val="center"/>
            </w:pPr>
          </w:p>
        </w:tc>
        <w:tc>
          <w:tcPr>
            <w:tcW w:w="1870" w:type="dxa"/>
          </w:tcPr>
          <w:p w:rsidR="00EC6ABD" w:rsidRPr="00EC6ABD" w:rsidRDefault="00EC6ABD" w:rsidP="00EC6ABD">
            <w:pPr>
              <w:jc w:val="center"/>
            </w:pPr>
          </w:p>
        </w:tc>
        <w:tc>
          <w:tcPr>
            <w:tcW w:w="1870" w:type="dxa"/>
          </w:tcPr>
          <w:p w:rsidR="00EC6ABD" w:rsidRPr="00EC6ABD" w:rsidRDefault="00EC6ABD" w:rsidP="00EC6ABD">
            <w:pPr>
              <w:jc w:val="center"/>
            </w:pPr>
          </w:p>
        </w:tc>
        <w:tc>
          <w:tcPr>
            <w:tcW w:w="1870" w:type="dxa"/>
          </w:tcPr>
          <w:p w:rsidR="00EC6ABD" w:rsidRPr="00EC6ABD" w:rsidRDefault="00EC6ABD" w:rsidP="00EC6ABD">
            <w:pPr>
              <w:jc w:val="center"/>
            </w:pPr>
          </w:p>
        </w:tc>
      </w:tr>
    </w:tbl>
    <w:p w:rsidR="00EC6ABD" w:rsidRPr="00EC6ABD" w:rsidRDefault="00EC6ABD" w:rsidP="00EC6ABD">
      <w:pPr>
        <w:rPr>
          <w:b/>
          <w:u w:val="single"/>
        </w:rPr>
      </w:pPr>
    </w:p>
    <w:p w:rsidR="00EC6ABD" w:rsidRPr="00EC6ABD" w:rsidRDefault="00EC6ABD" w:rsidP="00EC6ABD">
      <w:pPr>
        <w:rPr>
          <w:b/>
          <w:u w:val="single"/>
        </w:rPr>
      </w:pPr>
    </w:p>
    <w:p w:rsidR="00EC6ABD" w:rsidRPr="00EC6ABD" w:rsidRDefault="00EC6ABD" w:rsidP="00EC6ABD">
      <w:pPr>
        <w:rPr>
          <w:b/>
          <w:u w:val="single"/>
        </w:rPr>
      </w:pPr>
    </w:p>
    <w:p w:rsidR="00EC6ABD" w:rsidRPr="00EC6ABD" w:rsidRDefault="00EC6ABD" w:rsidP="00EC6ABD">
      <w:pPr>
        <w:rPr>
          <w:b/>
        </w:rPr>
      </w:pPr>
      <w:r w:rsidRPr="00EC6ABD">
        <w:rPr>
          <w:b/>
        </w:rPr>
        <w:t>CARS Request</w:t>
      </w:r>
    </w:p>
    <w:p w:rsidR="00EC6ABD" w:rsidRPr="00EC6ABD" w:rsidRDefault="00EC6ABD" w:rsidP="00EC6ABD">
      <w:pPr>
        <w:numPr>
          <w:ilvl w:val="0"/>
          <w:numId w:val="3"/>
        </w:numPr>
        <w:spacing w:after="0" w:line="240" w:lineRule="auto"/>
        <w:rPr>
          <w:rFonts w:ascii="Calibri" w:hAnsi="Calibri" w:cs="Calibri"/>
        </w:rPr>
      </w:pPr>
      <w:proofErr w:type="spellStart"/>
      <w:r w:rsidRPr="00EC6ABD">
        <w:rPr>
          <w:rFonts w:ascii="Calibri" w:hAnsi="Calibri" w:cs="Calibri"/>
        </w:rPr>
        <w:t>iCare</w:t>
      </w:r>
      <w:proofErr w:type="spellEnd"/>
    </w:p>
    <w:p w:rsidR="00EC6ABD" w:rsidRPr="00EC6ABD" w:rsidRDefault="00EC6ABD" w:rsidP="00EC6ABD">
      <w:pPr>
        <w:numPr>
          <w:ilvl w:val="0"/>
          <w:numId w:val="3"/>
        </w:numPr>
        <w:spacing w:after="0" w:line="240" w:lineRule="auto"/>
        <w:rPr>
          <w:rFonts w:ascii="Calibri" w:hAnsi="Calibri" w:cs="Calibri"/>
        </w:rPr>
      </w:pPr>
      <w:r w:rsidRPr="00EC6ABD">
        <w:rPr>
          <w:rFonts w:ascii="Calibri" w:hAnsi="Calibri" w:cs="Calibri"/>
        </w:rPr>
        <w:t>Lawson (for ordering)</w:t>
      </w:r>
    </w:p>
    <w:p w:rsidR="00EC6ABD" w:rsidRPr="00EC6ABD" w:rsidRDefault="00EC6ABD" w:rsidP="00EC6ABD">
      <w:pPr>
        <w:numPr>
          <w:ilvl w:val="0"/>
          <w:numId w:val="3"/>
        </w:numPr>
        <w:spacing w:after="0" w:line="240" w:lineRule="auto"/>
        <w:rPr>
          <w:rFonts w:ascii="Calibri" w:hAnsi="Calibri" w:cs="Calibri"/>
        </w:rPr>
      </w:pPr>
      <w:r w:rsidRPr="00EC6ABD">
        <w:rPr>
          <w:rFonts w:ascii="Calibri" w:hAnsi="Calibri" w:cs="Calibri"/>
        </w:rPr>
        <w:t>Email</w:t>
      </w:r>
    </w:p>
    <w:p w:rsidR="00EC6ABD" w:rsidRPr="00EC6ABD" w:rsidRDefault="00EC6ABD" w:rsidP="00EC6ABD"/>
    <w:p w:rsidR="00EC6ABD" w:rsidRPr="00EC6ABD" w:rsidRDefault="00EC6ABD" w:rsidP="00EC6ABD">
      <w:pPr>
        <w:rPr>
          <w:b/>
        </w:rPr>
      </w:pPr>
      <w:r w:rsidRPr="00EC6ABD">
        <w:rPr>
          <w:b/>
        </w:rPr>
        <w:t>Obtain Access</w:t>
      </w:r>
    </w:p>
    <w:p w:rsidR="00EC6ABD" w:rsidRPr="00EC6ABD" w:rsidRDefault="00EC6ABD" w:rsidP="00EC6ABD">
      <w:pPr>
        <w:numPr>
          <w:ilvl w:val="0"/>
          <w:numId w:val="4"/>
        </w:numPr>
        <w:spacing w:after="0" w:line="240" w:lineRule="auto"/>
        <w:rPr>
          <w:rFonts w:ascii="Calibri" w:hAnsi="Calibri" w:cs="Calibri"/>
          <w:b/>
        </w:rPr>
      </w:pPr>
      <w:proofErr w:type="spellStart"/>
      <w:r w:rsidRPr="00EC6ABD">
        <w:rPr>
          <w:rFonts w:ascii="Calibri" w:hAnsi="Calibri" w:cs="Calibri"/>
        </w:rPr>
        <w:t>Infusystem</w:t>
      </w:r>
      <w:proofErr w:type="spellEnd"/>
    </w:p>
    <w:p w:rsidR="00EC6ABD" w:rsidRPr="00EC6ABD" w:rsidRDefault="00EC6ABD" w:rsidP="00EC6ABD">
      <w:pPr>
        <w:numPr>
          <w:ilvl w:val="0"/>
          <w:numId w:val="4"/>
        </w:numPr>
        <w:spacing w:after="0" w:line="240" w:lineRule="auto"/>
        <w:rPr>
          <w:rFonts w:ascii="Calibri" w:hAnsi="Calibri" w:cs="Calibri"/>
          <w:b/>
        </w:rPr>
      </w:pPr>
      <w:r w:rsidRPr="00EC6ABD">
        <w:rPr>
          <w:rFonts w:ascii="Calibri" w:hAnsi="Calibri" w:cs="Calibri"/>
        </w:rPr>
        <w:t>Pharmacy Code</w:t>
      </w:r>
    </w:p>
    <w:p w:rsidR="00EC6ABD" w:rsidRPr="00EC6ABD" w:rsidRDefault="00EC6ABD" w:rsidP="00EC6ABD">
      <w:pPr>
        <w:numPr>
          <w:ilvl w:val="0"/>
          <w:numId w:val="4"/>
        </w:numPr>
        <w:spacing w:after="0" w:line="240" w:lineRule="auto"/>
        <w:rPr>
          <w:rFonts w:ascii="Calibri" w:hAnsi="Calibri" w:cs="Calibri"/>
          <w:b/>
        </w:rPr>
      </w:pPr>
      <w:r w:rsidRPr="00EC6ABD">
        <w:rPr>
          <w:rFonts w:ascii="Calibri" w:hAnsi="Calibri" w:cs="Calibri"/>
        </w:rPr>
        <w:t>Key fob</w:t>
      </w:r>
    </w:p>
    <w:p w:rsidR="00EC6ABD" w:rsidRPr="00EC6ABD" w:rsidRDefault="00EC6ABD" w:rsidP="00EC6ABD"/>
    <w:p w:rsidR="00537A93" w:rsidRDefault="00537A93">
      <w:bookmarkStart w:id="0" w:name="_GoBack"/>
      <w:bookmarkEnd w:id="0"/>
    </w:p>
    <w:sectPr w:rsidR="00537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32D2"/>
    <w:multiLevelType w:val="hybridMultilevel"/>
    <w:tmpl w:val="A398A4C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25EA4B75"/>
    <w:multiLevelType w:val="hybridMultilevel"/>
    <w:tmpl w:val="DC78A0AC"/>
    <w:lvl w:ilvl="0" w:tplc="EAAC6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7328A"/>
    <w:multiLevelType w:val="hybridMultilevel"/>
    <w:tmpl w:val="DF24F29A"/>
    <w:lvl w:ilvl="0" w:tplc="8DECFB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AD09D0"/>
    <w:multiLevelType w:val="hybridMultilevel"/>
    <w:tmpl w:val="27761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1D"/>
    <w:rsid w:val="002A5E86"/>
    <w:rsid w:val="00537A93"/>
    <w:rsid w:val="00910B1D"/>
    <w:rsid w:val="00B97125"/>
    <w:rsid w:val="00E9157C"/>
    <w:rsid w:val="00E95BCC"/>
    <w:rsid w:val="00EC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53592-4F0C-4AF0-9AB5-41DE311B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B1D"/>
    <w:pPr>
      <w:ind w:left="720"/>
      <w:contextualSpacing/>
    </w:pPr>
  </w:style>
  <w:style w:type="table" w:styleId="TableGrid">
    <w:name w:val="Table Grid"/>
    <w:basedOn w:val="TableNormal"/>
    <w:uiPriority w:val="39"/>
    <w:rsid w:val="00EC6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Riverside Health System</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Pittman, Danielle</dc:creator>
  <cp:keywords/>
  <dc:description/>
  <cp:lastModifiedBy>Pittman, Danielle</cp:lastModifiedBy>
  <cp:revision>2</cp:revision>
  <dcterms:created xsi:type="dcterms:W3CDTF">2021-08-09T17:04:00Z</dcterms:created>
  <dcterms:modified xsi:type="dcterms:W3CDTF">2021-08-09T17:04:00Z</dcterms:modified>
</cp:coreProperties>
</file>