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234" w14:textId="0EB5B93E" w:rsidR="00D20AAB" w:rsidRDefault="00521DF0" w:rsidP="00521DF0">
      <w:r>
        <w:t xml:space="preserve">                                     </w:t>
      </w:r>
      <w:r w:rsidR="00B002B2">
        <w:t>IVP Cheat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482"/>
        <w:gridCol w:w="2562"/>
      </w:tblGrid>
      <w:tr w:rsidR="00F63B05" w14:paraId="7FE699D1" w14:textId="77777777" w:rsidTr="00FC1A25">
        <w:tc>
          <w:tcPr>
            <w:tcW w:w="1801" w:type="dxa"/>
            <w:shd w:val="clear" w:color="auto" w:fill="F4B083" w:themeFill="accent2" w:themeFillTint="99"/>
          </w:tcPr>
          <w:p w14:paraId="1AE01B61" w14:textId="422083D4" w:rsidR="00F63B05" w:rsidRPr="00F63B05" w:rsidRDefault="00F63B05" w:rsidP="00B002B2">
            <w:pPr>
              <w:jc w:val="center"/>
              <w:rPr>
                <w:b/>
                <w:bCs/>
              </w:rPr>
            </w:pPr>
            <w:r w:rsidRPr="00F63B05">
              <w:rPr>
                <w:b/>
                <w:bCs/>
              </w:rPr>
              <w:t>Drug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22871502" w14:textId="4D8984FF" w:rsidR="00F63B05" w:rsidRPr="00F63B05" w:rsidRDefault="00F63B05" w:rsidP="00B002B2">
            <w:pPr>
              <w:jc w:val="center"/>
              <w:rPr>
                <w:b/>
                <w:bCs/>
              </w:rPr>
            </w:pPr>
            <w:r w:rsidRPr="00F63B05">
              <w:rPr>
                <w:b/>
                <w:bCs/>
              </w:rPr>
              <w:t>Vials/Diluent</w:t>
            </w:r>
          </w:p>
        </w:tc>
        <w:tc>
          <w:tcPr>
            <w:tcW w:w="2562" w:type="dxa"/>
            <w:shd w:val="clear" w:color="auto" w:fill="A8D08D" w:themeFill="accent6" w:themeFillTint="99"/>
          </w:tcPr>
          <w:p w14:paraId="333DAD1E" w14:textId="2CB4BF5C" w:rsidR="00F63B05" w:rsidRPr="00F63B05" w:rsidRDefault="00F63B05" w:rsidP="00B002B2">
            <w:pPr>
              <w:jc w:val="center"/>
              <w:rPr>
                <w:b/>
                <w:bCs/>
              </w:rPr>
            </w:pPr>
            <w:r w:rsidRPr="00F63B05">
              <w:rPr>
                <w:b/>
                <w:bCs/>
              </w:rPr>
              <w:t xml:space="preserve">Administration </w:t>
            </w:r>
          </w:p>
        </w:tc>
      </w:tr>
      <w:tr w:rsidR="00F63B05" w14:paraId="6472404B" w14:textId="77777777" w:rsidTr="00FC1A25">
        <w:tc>
          <w:tcPr>
            <w:tcW w:w="1801" w:type="dxa"/>
          </w:tcPr>
          <w:p w14:paraId="4CA7F045" w14:textId="75DB65E1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Aprepitant (CINVANTI)</w:t>
            </w:r>
          </w:p>
        </w:tc>
        <w:tc>
          <w:tcPr>
            <w:tcW w:w="1482" w:type="dxa"/>
          </w:tcPr>
          <w:p w14:paraId="3C2CE05B" w14:textId="5B75B45C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7.2mg/mL</w:t>
            </w:r>
          </w:p>
          <w:p w14:paraId="4D951BDE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</w:p>
          <w:p w14:paraId="61B95EF5" w14:textId="55052E5C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dilution necessary</w:t>
            </w:r>
          </w:p>
        </w:tc>
        <w:tc>
          <w:tcPr>
            <w:tcW w:w="2562" w:type="dxa"/>
          </w:tcPr>
          <w:p w14:paraId="1F7CB951" w14:textId="149BD0F2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IVP over 2 minutes approx. 30 minutes prior to chemotherapy. Flush line with NS before and after administration.</w:t>
            </w:r>
          </w:p>
        </w:tc>
      </w:tr>
      <w:tr w:rsidR="00F63B05" w14:paraId="7F0DD15D" w14:textId="77777777" w:rsidTr="00FC1A25">
        <w:tc>
          <w:tcPr>
            <w:tcW w:w="1801" w:type="dxa"/>
          </w:tcPr>
          <w:p w14:paraId="0E195AC3" w14:textId="1597F082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Dexamethasone</w:t>
            </w:r>
          </w:p>
        </w:tc>
        <w:tc>
          <w:tcPr>
            <w:tcW w:w="1482" w:type="dxa"/>
          </w:tcPr>
          <w:p w14:paraId="1804D05D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10 mg/mL or 4mg/mL</w:t>
            </w:r>
          </w:p>
          <w:p w14:paraId="035E4B38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</w:p>
          <w:p w14:paraId="7DBB9253" w14:textId="53785F5C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dilution necessary</w:t>
            </w:r>
          </w:p>
        </w:tc>
        <w:tc>
          <w:tcPr>
            <w:tcW w:w="2562" w:type="dxa"/>
          </w:tcPr>
          <w:p w14:paraId="1FE96FCB" w14:textId="16FF4492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4 mg/mL or 10 mg/mL concentration IVP undiluted over ≥1 minute.</w:t>
            </w:r>
            <w:r w:rsidR="00BC1ED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 General rule is 10</w:t>
            </w:r>
            <w:r w:rsidR="00307EBC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 </w:t>
            </w:r>
            <w:r w:rsidR="00BC1ED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mg </w:t>
            </w:r>
            <w:r w:rsidR="00FC1A2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push over </w:t>
            </w:r>
            <w:r w:rsidR="00BC1ED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1 minute. </w:t>
            </w:r>
            <w:r w:rsidRPr="00F63B0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Rapid administration of dexamethasone may be associated with perineal irritation.</w:t>
            </w:r>
            <w:r w:rsidR="00BC1ED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 Push over 3-5 minutes if itching occurs.</w:t>
            </w:r>
          </w:p>
        </w:tc>
      </w:tr>
      <w:tr w:rsidR="00F63B05" w14:paraId="1EB27EB0" w14:textId="77777777" w:rsidTr="00FC1A25">
        <w:tc>
          <w:tcPr>
            <w:tcW w:w="1801" w:type="dxa"/>
          </w:tcPr>
          <w:p w14:paraId="71963BD0" w14:textId="77777777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Diphenhydramine</w:t>
            </w:r>
          </w:p>
          <w:p w14:paraId="5025E42E" w14:textId="14914DDD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(BENADRYL)</w:t>
            </w:r>
          </w:p>
        </w:tc>
        <w:tc>
          <w:tcPr>
            <w:tcW w:w="1482" w:type="dxa"/>
          </w:tcPr>
          <w:p w14:paraId="3372E94B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50mg/mL</w:t>
            </w:r>
          </w:p>
          <w:p w14:paraId="17619636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</w:p>
          <w:p w14:paraId="58AF9B3E" w14:textId="15CC58C1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dilution necessary</w:t>
            </w:r>
          </w:p>
        </w:tc>
        <w:tc>
          <w:tcPr>
            <w:tcW w:w="2562" w:type="dxa"/>
          </w:tcPr>
          <w:p w14:paraId="0A92DC39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  <w:color w:val="474747"/>
                <w:shd w:val="clear" w:color="auto" w:fill="FFFFFF"/>
              </w:rPr>
            </w:pPr>
            <w:r w:rsidRPr="00F63B0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IVP at a rate ≤25 mg/minute.</w:t>
            </w:r>
          </w:p>
          <w:p w14:paraId="3F172D68" w14:textId="59F64A16" w:rsidR="00BC1ED5" w:rsidRDefault="00BC1ED5" w:rsidP="00B90513">
            <w:pPr>
              <w:jc w:val="center"/>
              <w:rPr>
                <w:rFonts w:asciiTheme="majorHAnsi" w:hAnsiTheme="majorHAnsi" w:cstheme="majorHAnsi"/>
                <w:color w:val="474747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12.5 mg</w:t>
            </w:r>
            <w:r w:rsidR="00307EBC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= 1 minute</w:t>
            </w:r>
          </w:p>
          <w:p w14:paraId="630E2813" w14:textId="58851EE8" w:rsidR="00BC1ED5" w:rsidRDefault="00BC1ED5" w:rsidP="00B90513">
            <w:pPr>
              <w:jc w:val="center"/>
              <w:rPr>
                <w:rFonts w:asciiTheme="majorHAnsi" w:hAnsiTheme="majorHAnsi" w:cstheme="majorHAnsi"/>
                <w:color w:val="474747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25 mg</w:t>
            </w:r>
            <w:r w:rsidR="00307EBC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= 1 </w:t>
            </w:r>
            <w:proofErr w:type="gramStart"/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minute</w:t>
            </w:r>
            <w:proofErr w:type="gramEnd"/>
          </w:p>
          <w:p w14:paraId="63E36DE4" w14:textId="05FFA039" w:rsidR="00BC1ED5" w:rsidRPr="00F63B05" w:rsidRDefault="00BC1ED5" w:rsidP="00B905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50 mg</w:t>
            </w:r>
            <w:r w:rsidR="00307EBC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= 2 minutes</w:t>
            </w:r>
          </w:p>
        </w:tc>
      </w:tr>
      <w:tr w:rsidR="00F63B05" w14:paraId="5959A6F0" w14:textId="77777777" w:rsidTr="00FC1A25">
        <w:tc>
          <w:tcPr>
            <w:tcW w:w="1801" w:type="dxa"/>
          </w:tcPr>
          <w:p w14:paraId="270B4948" w14:textId="31243F3D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Famotidine</w:t>
            </w:r>
          </w:p>
          <w:p w14:paraId="40B2FA15" w14:textId="453758C2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(PEPCID)</w:t>
            </w:r>
          </w:p>
        </w:tc>
        <w:tc>
          <w:tcPr>
            <w:tcW w:w="1482" w:type="dxa"/>
          </w:tcPr>
          <w:p w14:paraId="75D47769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10mg/mL</w:t>
            </w:r>
          </w:p>
          <w:p w14:paraId="5D928BF2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</w:p>
          <w:p w14:paraId="2D30D0CC" w14:textId="5A0FA13F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dilution necessary</w:t>
            </w:r>
          </w:p>
        </w:tc>
        <w:tc>
          <w:tcPr>
            <w:tcW w:w="2562" w:type="dxa"/>
          </w:tcPr>
          <w:p w14:paraId="44C6DB6E" w14:textId="5F46939F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  <w:color w:val="474747"/>
                <w:shd w:val="clear" w:color="auto" w:fill="FFFFFF"/>
              </w:rPr>
              <w:t>IVP over at least 2 minutes.</w:t>
            </w:r>
          </w:p>
        </w:tc>
      </w:tr>
      <w:tr w:rsidR="00F63B05" w14:paraId="5D1F5B2F" w14:textId="77777777" w:rsidTr="00FC1A25">
        <w:tc>
          <w:tcPr>
            <w:tcW w:w="1801" w:type="dxa"/>
          </w:tcPr>
          <w:p w14:paraId="5F663B93" w14:textId="4F97148D" w:rsidR="00F63B05" w:rsidRPr="00F63B05" w:rsidRDefault="00F63B05" w:rsidP="00F63B05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Palonsetron (ALOXI)</w:t>
            </w:r>
          </w:p>
        </w:tc>
        <w:tc>
          <w:tcPr>
            <w:tcW w:w="1482" w:type="dxa"/>
          </w:tcPr>
          <w:p w14:paraId="0D776968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 w:rsidRPr="00F63B05">
              <w:rPr>
                <w:rFonts w:asciiTheme="majorHAnsi" w:hAnsiTheme="majorHAnsi" w:cstheme="majorHAnsi"/>
              </w:rPr>
              <w:t>0.25mg/5mL</w:t>
            </w:r>
          </w:p>
          <w:p w14:paraId="3BD8305C" w14:textId="77777777" w:rsid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</w:p>
          <w:p w14:paraId="70084FF0" w14:textId="6FC41F9F" w:rsidR="00F63B05" w:rsidRPr="00F63B05" w:rsidRDefault="00F63B05" w:rsidP="00B905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dilution necessary</w:t>
            </w:r>
          </w:p>
        </w:tc>
        <w:tc>
          <w:tcPr>
            <w:tcW w:w="2562" w:type="dxa"/>
          </w:tcPr>
          <w:p w14:paraId="5FEC084C" w14:textId="48F9372C" w:rsidR="00F63B05" w:rsidRPr="00F63B05" w:rsidRDefault="00F63B05" w:rsidP="00B90513">
            <w:pPr>
              <w:pStyle w:val="NormalWeb"/>
              <w:shd w:val="clear" w:color="auto" w:fill="FFFFFF"/>
              <w:spacing w:before="60" w:beforeAutospacing="0" w:after="120" w:afterAutospacing="0"/>
              <w:jc w:val="center"/>
              <w:rPr>
                <w:rFonts w:asciiTheme="majorHAnsi" w:hAnsiTheme="majorHAnsi" w:cstheme="majorHAnsi"/>
                <w:color w:val="474747"/>
                <w:sz w:val="22"/>
                <w:szCs w:val="22"/>
              </w:rPr>
            </w:pPr>
            <w:r w:rsidRPr="00F63B05">
              <w:rPr>
                <w:rFonts w:asciiTheme="majorHAnsi" w:hAnsiTheme="majorHAnsi" w:cstheme="majorHAnsi"/>
                <w:color w:val="474747"/>
                <w:sz w:val="22"/>
                <w:szCs w:val="22"/>
              </w:rPr>
              <w:t xml:space="preserve">IVP over 30 seconds at least </w:t>
            </w:r>
            <w:r w:rsidRPr="00F63B05">
              <w:rPr>
                <w:rFonts w:asciiTheme="majorHAnsi" w:hAnsiTheme="majorHAnsi" w:cstheme="majorHAnsi"/>
                <w:color w:val="474747"/>
                <w:sz w:val="22"/>
                <w:szCs w:val="22"/>
                <w:shd w:val="clear" w:color="auto" w:fill="FFFFFF"/>
              </w:rPr>
              <w:t>30 minutes prior to chemotherapy.</w:t>
            </w:r>
            <w:r>
              <w:rPr>
                <w:rFonts w:asciiTheme="majorHAnsi" w:hAnsiTheme="majorHAnsi" w:cstheme="maj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r w:rsidRPr="00F63B05">
              <w:rPr>
                <w:rFonts w:asciiTheme="majorHAnsi" w:hAnsiTheme="majorHAnsi" w:cstheme="majorHAnsi"/>
                <w:color w:val="474747"/>
                <w:sz w:val="22"/>
                <w:szCs w:val="22"/>
                <w:shd w:val="clear" w:color="auto" w:fill="FFFFFF"/>
              </w:rPr>
              <w:t>Flush line with NS before and after</w:t>
            </w:r>
            <w:r>
              <w:rPr>
                <w:rFonts w:asciiTheme="majorHAnsi" w:hAnsiTheme="majorHAnsi" w:cstheme="maj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r w:rsidRPr="00F63B05">
              <w:rPr>
                <w:rFonts w:asciiTheme="majorHAnsi" w:hAnsiTheme="majorHAnsi" w:cstheme="majorHAnsi"/>
                <w:color w:val="474747"/>
                <w:sz w:val="22"/>
                <w:szCs w:val="22"/>
                <w:shd w:val="clear" w:color="auto" w:fill="FFFFFF"/>
              </w:rPr>
              <w:t xml:space="preserve">administration. </w:t>
            </w:r>
            <w:r w:rsidRPr="00F63B05">
              <w:rPr>
                <w:rFonts w:asciiTheme="majorHAnsi" w:hAnsiTheme="majorHAnsi" w:cstheme="majorHAnsi"/>
                <w:color w:val="474747"/>
                <w:sz w:val="22"/>
                <w:szCs w:val="22"/>
              </w:rPr>
              <w:t>Do not mix with other medications.</w:t>
            </w:r>
          </w:p>
          <w:p w14:paraId="09EFACB7" w14:textId="77777777" w:rsidR="00F63B05" w:rsidRPr="00F63B05" w:rsidRDefault="00F63B05" w:rsidP="00B90513">
            <w:pPr>
              <w:pStyle w:val="NormalWeb"/>
              <w:shd w:val="clear" w:color="auto" w:fill="FFFFFF"/>
              <w:spacing w:before="60" w:beforeAutospacing="0" w:after="120" w:afterAutospacing="0"/>
              <w:ind w:left="480" w:hanging="4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4CA426A" w14:textId="5B70DD07" w:rsidR="00B002B2" w:rsidRDefault="00B002B2"/>
    <w:sectPr w:rsidR="00B00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B2"/>
    <w:rsid w:val="0017412F"/>
    <w:rsid w:val="00307EBC"/>
    <w:rsid w:val="004656AC"/>
    <w:rsid w:val="00521DF0"/>
    <w:rsid w:val="00B002B2"/>
    <w:rsid w:val="00B90513"/>
    <w:rsid w:val="00BC1ED5"/>
    <w:rsid w:val="00D20AAB"/>
    <w:rsid w:val="00F63B05"/>
    <w:rsid w:val="00F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A2E3"/>
  <w15:chartTrackingRefBased/>
  <w15:docId w15:val="{30CF3262-6537-4C05-B7A6-12B0C1B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Westrick, Amanda</dc:creator>
  <cp:keywords/>
  <dc:description/>
  <cp:lastModifiedBy>Westrick, Amanda</cp:lastModifiedBy>
  <cp:revision>3</cp:revision>
  <dcterms:created xsi:type="dcterms:W3CDTF">2021-12-21T18:01:00Z</dcterms:created>
  <dcterms:modified xsi:type="dcterms:W3CDTF">2021-12-21T18:02:00Z</dcterms:modified>
</cp:coreProperties>
</file>